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center"/>
      </w:pPr>
      <w:r>
        <w:t>Перечень оборудования, выдаваемого во временное пользование:</w:t>
      </w:r>
    </w:p>
    <w:p w14:paraId="02000000">
      <w:pPr>
        <w:pStyle w:val="Style_1"/>
        <w:ind/>
        <w:jc w:val="center"/>
      </w:pPr>
    </w:p>
    <w:tbl>
      <w:tblPr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607"/>
        <w:gridCol w:w="2520"/>
        <w:gridCol w:w="3255"/>
        <w:gridCol w:w="1605"/>
        <w:gridCol w:w="1682"/>
      </w:tblGrid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00000">
            <w:r>
              <w:t>№ п/п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00000">
            <w:r>
              <w:t>Наименование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00000">
            <w:r>
              <w:t>Описание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00000">
            <w:r>
              <w:t>Стоимость руб./сут.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00000">
            <w:r>
              <w:t>Фото</w:t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00000">
            <w:r>
              <w:t>1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00000">
            <w:r>
              <w:t xml:space="preserve">Кресло – коляска инвалидная 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00000">
            <w:pPr>
              <w:rPr>
                <w:sz w:val="22"/>
              </w:rPr>
            </w:pPr>
            <w:r>
              <w:rPr>
                <w:sz w:val="22"/>
              </w:rPr>
              <w:t>Коляска предназначена для обеспечения передвижения в помещениях и на дорогах с твердым покрытием инвалидов с патологией опорно – двигательного аппарата или центральной нервной системы.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00000"/>
          <w:p w14:paraId="0C000000">
            <w:pPr>
              <w:ind/>
              <w:jc w:val="center"/>
            </w:pPr>
            <w:r>
              <w:t>11,00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00000">
            <w:r>
              <w:drawing>
                <wp:inline>
                  <wp:extent cx="931178" cy="927792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tretch/>
                        </pic:blipFill>
                        <pic:spPr>
                          <a:xfrm flipH="false" flipV="false" rot="0">
                            <a:ext cx="931178" cy="9277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00000">
            <w:r>
              <w:t>2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00000">
            <w:r>
              <w:t>Кресло - туалет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00000">
            <w:pPr>
              <w:rPr>
                <w:rFonts w:ascii="XO Thames" w:hAnsi="XO Thames"/>
                <w:sz w:val="22"/>
              </w:rPr>
            </w:pP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Специальное медицинское оборудование, которое не подключено к системе канализации и не имеет функции смыва. Оно разработано для обеспечения комфорта и безопасности людей с ограниченными возможностями передвижения или с ослабленными физическими возможностями, которым требуется сторонняя помощь при использовании туалета.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00000"/>
          <w:p w14:paraId="12000000">
            <w:pPr>
              <w:ind/>
              <w:jc w:val="center"/>
            </w:pPr>
            <w:r>
              <w:t>12,00</w:t>
            </w:r>
          </w:p>
          <w:p w14:paraId="13000000">
            <w:pPr>
              <w:ind/>
              <w:jc w:val="center"/>
            </w:pP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00000">
            <w:r>
              <w:drawing>
                <wp:inline>
                  <wp:extent cx="931178" cy="931178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931178" cy="9311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00000">
            <w:r>
              <w:t>3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00000">
            <w:r>
              <w:t>Ходунки инвалидные с колесиками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00000">
            <w:pPr>
              <w:rPr>
                <w:rFonts w:ascii="XO Thames" w:hAnsi="XO Thames"/>
                <w:sz w:val="22"/>
              </w:rPr>
            </w:pP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Ходунки – это опорное приспособление, которое помогает самостоятельно передвигаться людям с проблемами опорно-двигательного аппарата. Основа их конструкции – металлическая рама на ножках или колесиках.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00000"/>
          <w:p w14:paraId="19000000">
            <w:pPr>
              <w:ind/>
              <w:jc w:val="center"/>
            </w:pPr>
            <w:r>
              <w:t>11,00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r>
              <w:drawing>
                <wp:inline>
                  <wp:extent cx="931178" cy="960928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931178" cy="96092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00000">
            <w:r>
              <w:t>4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r>
              <w:t>Стол прикроватный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00000">
            <w:pPr>
              <w:rPr>
                <w:rFonts w:ascii="XO Thames" w:hAnsi="XO Thames"/>
                <w:b w:val="0"/>
                <w:sz w:val="22"/>
              </w:rPr>
            </w:pP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Стол прикроватный поворотный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применяется в медицинских учреждениях и реабилитационных центрах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для удобства пациента и облегчения проведения манипуляций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00000"/>
          <w:p w14:paraId="1F000000">
            <w:pPr>
              <w:ind/>
              <w:jc w:val="center"/>
            </w:pPr>
            <w:r>
              <w:t>12,00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00000">
            <w:r>
              <w:drawing>
                <wp:inline>
                  <wp:extent cx="931178" cy="931178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flipH="false" flipV="false" rot="0">
                            <a:ext cx="931178" cy="9311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00000">
            <w:r>
              <w:t>5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00000">
            <w:r>
              <w:t>Стол надкроватный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pPr>
              <w:rPr>
                <w:rFonts w:ascii="XO Thames" w:hAnsi="XO Thames"/>
                <w:b w:val="0"/>
                <w:sz w:val="22"/>
              </w:rPr>
            </w:pP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Предлагаемый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надкроватный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столик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имеег целью позволить больному, независимо от его положения в кровати, пользоваться свободно руками, не испытывая чувства утомления.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00000"/>
          <w:p w14:paraId="25000000">
            <w:pPr>
              <w:ind/>
              <w:jc w:val="center"/>
            </w:pPr>
            <w:r>
              <w:t>10,00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00000">
            <w:r>
              <w:drawing>
                <wp:inline>
                  <wp:extent cx="931178" cy="622337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flipH="false" flipV="false" rot="0">
                            <a:ext cx="931178" cy="6223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168"/>
          <w:hidden w:val="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r>
              <w:t>6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00000">
            <w:r>
              <w:t>Ходунки инвалидные без колесиков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00000">
            <w:pPr>
              <w:rPr>
                <w:sz w:val="22"/>
              </w:rPr>
            </w:pPr>
            <w:r>
              <w:rPr>
                <w:sz w:val="22"/>
              </w:rPr>
              <w:t>Предназначены для помощи в передвижении, подходят для инвалидов и больных с нарушением функций опорно – двигательного аппарата.Ходунки улучшают координацию движений, позволяют сохранить равновесие и уменьшают нагрузку на нижние конечности.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00000"/>
          <w:p w14:paraId="2B000000">
            <w:pPr>
              <w:ind/>
              <w:jc w:val="center"/>
            </w:pPr>
            <w:r>
              <w:t>11,00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00000">
            <w:r>
              <w:drawing>
                <wp:inline>
                  <wp:extent cx="931178" cy="961078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flipH="false" flipV="false" rot="0">
                            <a:ext cx="931178" cy="9610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00000">
            <w:r>
              <w:t>7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r>
              <w:t>Костыли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rPr>
                <w:sz w:val="22"/>
              </w:rPr>
            </w:pPr>
            <w:r>
              <w:rPr>
                <w:sz w:val="22"/>
              </w:rPr>
              <w:t>Костыли опорные предназначены для облегчения ходьбы лиц, имеющих повреждения и заболевания нижних конечностей, пользующихся протезами и ортезами, для лиц пожилого возраста с целью разгрузки суставов.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/>
          <w:p w14:paraId="31000000">
            <w:pPr>
              <w:ind/>
              <w:jc w:val="center"/>
            </w:pPr>
            <w:r>
              <w:t>9,00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r>
              <w:drawing>
                <wp:inline>
                  <wp:extent cx="931178" cy="931178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tretch/>
                        </pic:blipFill>
                        <pic:spPr>
                          <a:xfrm flipH="false" flipV="false" rot="0">
                            <a:ext cx="931178" cy="9311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r>
              <w:t>8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r>
              <w:t>Трость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rPr>
                <w:sz w:val="22"/>
              </w:rPr>
            </w:pPr>
            <w:r>
              <w:rPr>
                <w:sz w:val="22"/>
              </w:rPr>
              <w:t>Предназначены для облегчения передвижения инвалидов и пациентов с малой и средней степенью нарушения координаций движения.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/>
          <w:p w14:paraId="37000000">
            <w:pPr>
              <w:ind/>
              <w:jc w:val="center"/>
            </w:pPr>
            <w:r>
              <w:t>9,00</w:t>
            </w:r>
          </w:p>
          <w:p w14:paraId="38000000">
            <w:pPr>
              <w:ind/>
              <w:jc w:val="center"/>
            </w:pP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00000">
            <w:r>
              <w:drawing>
                <wp:inline>
                  <wp:extent cx="931178" cy="931178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flipH="false" flipV="false" rot="0">
                            <a:ext cx="931178" cy="9311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r>
              <w:t>9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r>
              <w:t>Простыня для перемещения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rPr>
                <w:rFonts w:ascii="XO Thames" w:hAnsi="XO Thames"/>
                <w:sz w:val="22"/>
              </w:rPr>
            </w:pP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Это специальное изделие, предназначенное для изменения положения тела прикованного к постели человека. За счет особого материала и конструкции с помощью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простыни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можно без дополнительной нагрузки легко и быстро переворачивать больного, не причиняя ему при этом никаких неудобств.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00000"/>
          <w:p w14:paraId="3E000000">
            <w:pPr>
              <w:ind/>
              <w:jc w:val="center"/>
            </w:pPr>
            <w:r>
              <w:t>11,00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00000">
            <w:r>
              <w:drawing>
                <wp:inline>
                  <wp:extent cx="931178" cy="931178"/>
                  <wp:docPr hidden="false" id="18" name="Picture 18"/>
                  <a:graphic>
                    <a:graphicData uri="http://schemas.openxmlformats.org/drawingml/2006/picture">
                      <pic:pic>
                        <pic:nvPicPr>
                          <pic:cNvPr hidden="false" id="17" name="Picture 17"/>
                          <pic:cNvPicPr preferRelativeResize="true"/>
                        </pic:nvPicPr>
                        <pic:blipFill>
                          <a:blip r:embed="rId9"/>
                          <a:stretch/>
                        </pic:blipFill>
                        <pic:spPr>
                          <a:xfrm flipH="false" flipV="false" rot="0">
                            <a:ext cx="931178" cy="9311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r>
              <w:t>10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r>
              <w:t>Ступень с поручнем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rPr>
                <w:rFonts w:ascii="XO Thames" w:hAnsi="XO Thames"/>
                <w:b w:val="0"/>
                <w:sz w:val="20"/>
              </w:rPr>
            </w:pP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С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0"/>
                <w:highlight w:val="white"/>
              </w:rPr>
              <w:t>тупень с поручнем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0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0"/>
                <w:highlight w:val="white"/>
              </w:rPr>
              <w:t>предназначена для безопасного и удобного входа и выхода в гидротерапевтические ванны, а также для комфортного размещения на кушетках различного функционала.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0"/>
                <w:highlight w:val="white"/>
              </w:rPr>
              <w:t>Поверхность каждого уровня ступени имеет противоскользящее покрытие, что обеспечивает безопасность эксплуатации. Боковой поручень служит дополнительной опорой для пациентов при размещении в ванне (особенно актуально для людей пожилого возраста).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00000"/>
          <w:p w14:paraId="44000000">
            <w:pPr>
              <w:ind/>
              <w:jc w:val="center"/>
            </w:pPr>
            <w:r>
              <w:t>11,00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00000">
            <w:r>
              <w:drawing>
                <wp:inline>
                  <wp:extent cx="931178" cy="931178"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 flipH="false" flipV="false" rot="0">
                            <a:ext cx="931178" cy="93117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r>
              <w:t>11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r>
              <w:t>Поручень д/санит.гигиен.комнат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rPr>
                <w:rFonts w:ascii="XO Thames" w:hAnsi="XO Thames"/>
                <w:sz w:val="22"/>
              </w:rPr>
            </w:pP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Одним из важнейших элементов дополнительного оборудования для ванных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комнат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и туалетов, облегчающих пожилым людям и инвалидам ежедневные необходимые процедуры, являются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поручни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.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 xml:space="preserve"> Надежно закрепленные в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нужных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местах на стенах, они помогают перемещаться в пределах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помещения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 xml:space="preserve">, 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зайти в ванную, приподняться и выйти из нее, присесть и встать с унитаза.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00000"/>
          <w:p w14:paraId="4A000000">
            <w:pPr>
              <w:ind/>
              <w:jc w:val="center"/>
            </w:pPr>
            <w:r>
              <w:t>11,00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00000">
            <w:r>
              <w:drawing>
                <wp:inline>
                  <wp:extent cx="931178" cy="755495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 flipH="false" flipV="false" rot="0">
                            <a:ext cx="931178" cy="75549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60"/>
        </w:trPr>
        <w:tc>
          <w:tcPr>
            <w:tcW w:type="dxa" w:w="6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r>
              <w:t>12</w:t>
            </w:r>
          </w:p>
        </w:tc>
        <w:tc>
          <w:tcPr>
            <w:tcW w:type="dxa" w:w="25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r>
              <w:t>Сиденье для ванны</w:t>
            </w:r>
          </w:p>
        </w:tc>
        <w:tc>
          <w:tcPr>
            <w:tcW w:type="dxa" w:w="32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rPr>
                <w:rFonts w:ascii="XO Thames" w:hAnsi="XO Thames"/>
                <w:b w:val="0"/>
                <w:sz w:val="22"/>
              </w:rPr>
            </w:pP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Сиденье для ванны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 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предназначено для повышения уровня комфорта и удобства во время проведения водных процедур</w:t>
            </w:r>
            <w:r>
              <w:rPr>
                <w:rFonts w:ascii="XO Thames" w:hAnsi="XO Thames"/>
                <w:b w:val="0"/>
                <w:i w:val="0"/>
                <w:caps w:val="0"/>
                <w:color w:val="333333"/>
                <w:spacing w:val="0"/>
                <w:sz w:val="22"/>
                <w:highlight w:val="white"/>
              </w:rPr>
              <w:t>.</w:t>
            </w:r>
          </w:p>
        </w:tc>
        <w:tc>
          <w:tcPr>
            <w:tcW w:type="dxa" w:w="16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/>
          <w:p w14:paraId="50000000">
            <w:pPr>
              <w:ind/>
              <w:jc w:val="center"/>
            </w:pPr>
            <w:r>
              <w:t>10,00</w:t>
            </w:r>
          </w:p>
        </w:tc>
        <w:tc>
          <w:tcPr>
            <w:tcW w:type="dxa" w:w="1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00000">
            <w:r>
              <w:drawing>
                <wp:inline>
                  <wp:extent cx="931178" cy="667511"/>
                  <wp:docPr hidden="false" id="24" name="Picture 24"/>
                  <a:graphic>
                    <a:graphicData uri="http://schemas.openxmlformats.org/drawingml/2006/picture">
                      <pic:pic>
                        <pic:nvPicPr>
                          <pic:cNvPr hidden="false" id="23" name="Picture 23"/>
                          <pic:cNvPicPr preferRelativeResize="true"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 flipH="false" flipV="false" rot="0">
                            <a:ext cx="931178" cy="66751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000000">
      <w:pPr>
        <w:pStyle w:val="Style_1"/>
        <w:ind/>
        <w:jc w:val="center"/>
      </w:pP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heading 3"/>
    <w:next w:val="Style_1"/>
    <w:link w:val="Style_6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6_ch" w:type="character">
    <w:name w:val="heading 3"/>
    <w:link w:val="Style_6"/>
    <w:rPr>
      <w:rFonts w:ascii="XO Thames" w:hAnsi="XO Thames"/>
      <w:b w:val="1"/>
      <w:sz w:val="26"/>
    </w:rPr>
  </w:style>
  <w:style w:styleId="Style_7" w:type="paragraph">
    <w:name w:val="toc 3"/>
    <w:next w:val="Style_1"/>
    <w:link w:val="Style_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7_ch" w:type="character">
    <w:name w:val="toc 3"/>
    <w:link w:val="Style_7"/>
    <w:rPr>
      <w:rFonts w:ascii="XO Thames" w:hAnsi="XO Thames"/>
      <w:sz w:val="28"/>
    </w:rPr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8_ch" w:type="character">
    <w:name w:val="heading 5"/>
    <w:link w:val="Style_8"/>
    <w:rPr>
      <w:rFonts w:ascii="XO Thames" w:hAnsi="XO Thames"/>
      <w:b w:val="1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 w:firstLine="851" w:left="0"/>
      <w:jc w:val="both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2_ch" w:type="character">
    <w:name w:val="toc 1"/>
    <w:link w:val="Style_12"/>
    <w:rPr>
      <w:rFonts w:ascii="XO Thames" w:hAnsi="XO Thames"/>
      <w:b w:val="1"/>
      <w:sz w:val="28"/>
    </w:rPr>
  </w:style>
  <w:style w:styleId="Style_13" w:type="paragraph">
    <w:name w:val="Header and Footer"/>
    <w:link w:val="Style_13_ch"/>
    <w:pPr>
      <w:spacing w:line="240" w:lineRule="auto"/>
      <w:ind/>
      <w:jc w:val="both"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4_ch" w:type="character">
    <w:name w:val="toc 9"/>
    <w:link w:val="Style_14"/>
    <w:rPr>
      <w:rFonts w:ascii="XO Thames" w:hAnsi="XO Thames"/>
      <w:sz w:val="28"/>
    </w:rPr>
  </w:style>
  <w:style w:styleId="Style_15" w:type="paragraph">
    <w:name w:val="toc 8"/>
    <w:next w:val="Style_1"/>
    <w:link w:val="Style_1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5_ch" w:type="character">
    <w:name w:val="toc 8"/>
    <w:link w:val="Style_15"/>
    <w:rPr>
      <w:rFonts w:ascii="XO Thames" w:hAnsi="XO Thames"/>
      <w:sz w:val="28"/>
    </w:rPr>
  </w:style>
  <w:style w:styleId="Style_16" w:type="paragraph">
    <w:name w:val="toc 5"/>
    <w:next w:val="Style_1"/>
    <w:link w:val="Style_1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6_ch" w:type="character">
    <w:name w:val="toc 5"/>
    <w:link w:val="Style_16"/>
    <w:rPr>
      <w:rFonts w:ascii="XO Thames" w:hAnsi="XO Thames"/>
      <w:sz w:val="28"/>
    </w:rPr>
  </w:style>
  <w:style w:styleId="Style_17" w:type="paragraph">
    <w:name w:val="Subtitle"/>
    <w:next w:val="Style_1"/>
    <w:link w:val="Style_17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7_ch" w:type="character">
    <w:name w:val="Subtitle"/>
    <w:link w:val="Style_17"/>
    <w:rPr>
      <w:rFonts w:ascii="XO Thames" w:hAnsi="XO Thames"/>
      <w:i w:val="1"/>
      <w:sz w:val="24"/>
    </w:rPr>
  </w:style>
  <w:style w:styleId="Style_18" w:type="paragraph">
    <w:name w:val="Title"/>
    <w:next w:val="Style_1"/>
    <w:link w:val="Style_1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8_ch" w:type="character">
    <w:name w:val="Title"/>
    <w:link w:val="Style_18"/>
    <w:rPr>
      <w:rFonts w:ascii="XO Thames" w:hAnsi="XO Thames"/>
      <w:b w:val="1"/>
      <w:caps w:val="1"/>
      <w:sz w:val="40"/>
    </w:rPr>
  </w:style>
  <w:style w:styleId="Style_19" w:type="paragraph">
    <w:name w:val="heading 4"/>
    <w:next w:val="Style_1"/>
    <w:link w:val="Style_1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19_ch" w:type="character">
    <w:name w:val="heading 4"/>
    <w:link w:val="Style_19"/>
    <w:rPr>
      <w:rFonts w:ascii="XO Thames" w:hAnsi="XO Thames"/>
      <w:b w:val="1"/>
      <w:sz w:val="24"/>
    </w:rPr>
  </w:style>
  <w:style w:styleId="Style_20" w:type="paragraph">
    <w:name w:val="heading 2"/>
    <w:next w:val="Style_1"/>
    <w:link w:val="Style_2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0_ch" w:type="character">
    <w:name w:val="heading 2"/>
    <w:link w:val="Style_20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fontTable.xml" Type="http://schemas.openxmlformats.org/officeDocument/2006/relationships/fontTable"/>
  <Relationship Id="rId16" Target="stylesWithEffects.xml" Type="http://schemas.microsoft.com/office/2007/relationships/stylesWithEffects"/>
  <Relationship Id="rId12" Target="media/12.jpeg" Type="http://schemas.openxmlformats.org/officeDocument/2006/relationships/image"/>
  <Relationship Id="rId8" Target="media/8.jpeg" Type="http://schemas.openxmlformats.org/officeDocument/2006/relationships/image"/>
  <Relationship Id="rId11" Target="media/11.jpeg" Type="http://schemas.openxmlformats.org/officeDocument/2006/relationships/image"/>
  <Relationship Id="rId14" Target="settings.xml" Type="http://schemas.openxmlformats.org/officeDocument/2006/relationships/settings"/>
  <Relationship Id="rId7" Target="media/7.jpeg" Type="http://schemas.openxmlformats.org/officeDocument/2006/relationships/image"/>
  <Relationship Id="rId10" Target="media/10.jpeg" Type="http://schemas.openxmlformats.org/officeDocument/2006/relationships/image"/>
  <Relationship Id="rId15" Target="styles.xml" Type="http://schemas.openxmlformats.org/officeDocument/2006/relationships/styles"/>
  <Relationship Id="rId18" Target="theme/theme1.xml" Type="http://schemas.openxmlformats.org/officeDocument/2006/relationships/theme"/>
  <Relationship Id="rId1" Target="media/1.jpeg" Type="http://schemas.openxmlformats.org/officeDocument/2006/relationships/image"/>
  <Relationship Id="rId9" Target="media/9.jpeg" Type="http://schemas.openxmlformats.org/officeDocument/2006/relationships/image"/>
  <Relationship Id="rId6" Target="media/6.jpeg" Type="http://schemas.openxmlformats.org/officeDocument/2006/relationships/image"/>
  <Relationship Id="rId17" Target="webSettings.xml" Type="http://schemas.openxmlformats.org/officeDocument/2006/relationships/webSettings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2" Target="media/2.jpeg" Type="http://schemas.openxmlformats.org/officeDocument/2006/relationships/image"/>
  <Relationship Id="rId3" Target="media/3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2024-03-25T11:21:07Z</dcterms:modified>
</cp:coreProperties>
</file>